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6" w:rsidRPr="00666156" w:rsidRDefault="00666156">
      <w:pPr>
        <w:rPr>
          <w:rFonts w:ascii="Verdana" w:hAnsi="Verdana"/>
          <w:b/>
          <w:color w:val="000000"/>
          <w:sz w:val="27"/>
          <w:szCs w:val="27"/>
        </w:rPr>
      </w:pPr>
      <w:r w:rsidRPr="00666156">
        <w:rPr>
          <w:rFonts w:ascii="Verdana" w:hAnsi="Verdana"/>
          <w:b/>
          <w:color w:val="000000"/>
          <w:sz w:val="27"/>
          <w:szCs w:val="27"/>
        </w:rPr>
        <w:t xml:space="preserve">Опыты профессора Шестакова с </w:t>
      </w:r>
      <w:proofErr w:type="spellStart"/>
      <w:r w:rsidRPr="00666156">
        <w:rPr>
          <w:rFonts w:ascii="Verdana" w:hAnsi="Verdana"/>
          <w:b/>
          <w:color w:val="000000"/>
          <w:sz w:val="27"/>
          <w:szCs w:val="27"/>
        </w:rPr>
        <w:t>нейропептидами</w:t>
      </w:r>
      <w:proofErr w:type="spellEnd"/>
      <w:r w:rsidRPr="00666156">
        <w:rPr>
          <w:rFonts w:ascii="Verdana" w:hAnsi="Verdana"/>
          <w:b/>
          <w:color w:val="000000"/>
          <w:sz w:val="27"/>
          <w:szCs w:val="27"/>
        </w:rPr>
        <w:t>.</w:t>
      </w:r>
    </w:p>
    <w:p w:rsidR="00140D44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 w:rsidR="00140D44" w:rsidRPr="00EC0A86">
        <w:rPr>
          <w:rFonts w:ascii="Verdana" w:hAnsi="Verdana"/>
          <w:sz w:val="27"/>
          <w:szCs w:val="27"/>
        </w:rPr>
        <w:t xml:space="preserve">Доктор биологических наук, профессор Виталий </w:t>
      </w:r>
      <w:r w:rsidR="008F77F0" w:rsidRPr="00EC0A86">
        <w:rPr>
          <w:rFonts w:ascii="Verdana" w:hAnsi="Verdana"/>
          <w:sz w:val="27"/>
          <w:szCs w:val="27"/>
        </w:rPr>
        <w:t xml:space="preserve">Александрович </w:t>
      </w:r>
      <w:r w:rsidR="00140D44" w:rsidRPr="00EC0A86">
        <w:rPr>
          <w:rFonts w:ascii="Verdana" w:hAnsi="Verdana"/>
          <w:sz w:val="27"/>
          <w:szCs w:val="27"/>
        </w:rPr>
        <w:t>Шестаков</w:t>
      </w:r>
      <w:r w:rsidRPr="00EC0A86">
        <w:rPr>
          <w:rFonts w:ascii="Verdana" w:hAnsi="Verdana"/>
          <w:sz w:val="27"/>
          <w:szCs w:val="27"/>
        </w:rPr>
        <w:t xml:space="preserve"> долгие годы занимается тем, что выделяет из крови эмоции. Желания. Стремления. Чувства. В чистом химическом виде. Ощущения порождаются особыми веществами, </w:t>
      </w:r>
      <w:proofErr w:type="spellStart"/>
      <w:r w:rsidR="00140D44" w:rsidRPr="00EC0A86">
        <w:rPr>
          <w:rFonts w:ascii="Verdana" w:hAnsi="Verdana"/>
          <w:sz w:val="27"/>
          <w:szCs w:val="27"/>
        </w:rPr>
        <w:t>нейропептидами</w:t>
      </w:r>
      <w:proofErr w:type="spellEnd"/>
      <w:r w:rsidR="00140D44" w:rsidRPr="00EC0A86">
        <w:rPr>
          <w:rFonts w:ascii="Verdana" w:hAnsi="Verdana"/>
          <w:sz w:val="27"/>
          <w:szCs w:val="27"/>
        </w:rPr>
        <w:t xml:space="preserve">, </w:t>
      </w:r>
      <w:r w:rsidRPr="00EC0A86">
        <w:rPr>
          <w:rFonts w:ascii="Verdana" w:hAnsi="Verdana"/>
          <w:sz w:val="27"/>
          <w:szCs w:val="27"/>
        </w:rPr>
        <w:t xml:space="preserve">которые вырабатывает и выбрасывает в кровь мозг. </w:t>
      </w:r>
      <w:proofErr w:type="spellStart"/>
      <w:r w:rsidR="00EC0A86" w:rsidRPr="00EC0A86">
        <w:rPr>
          <w:rFonts w:ascii="Verdana" w:hAnsi="Verdana" w:cs="Arial"/>
          <w:sz w:val="27"/>
          <w:szCs w:val="27"/>
          <w:shd w:val="clear" w:color="auto" w:fill="FFFFFF"/>
        </w:rPr>
        <w:t>Нейропептиды</w:t>
      </w:r>
      <w:proofErr w:type="spellEnd"/>
      <w:r w:rsidR="00EC0A86" w:rsidRPr="00EC0A86">
        <w:rPr>
          <w:rFonts w:ascii="Verdana" w:hAnsi="Verdana" w:cs="Arial"/>
          <w:sz w:val="27"/>
          <w:szCs w:val="27"/>
          <w:shd w:val="clear" w:color="auto" w:fill="FFFFFF"/>
        </w:rPr>
        <w:t xml:space="preserve"> образуются в нервных клетках и далее через кровь разносятся по организму.</w:t>
      </w:r>
      <w:r w:rsidR="00EC0A86" w:rsidRPr="00EC0A86">
        <w:rPr>
          <w:rFonts w:ascii="Verdana" w:hAnsi="Verdana"/>
          <w:sz w:val="27"/>
          <w:szCs w:val="27"/>
        </w:rPr>
        <w:t xml:space="preserve"> </w:t>
      </w:r>
      <w:r w:rsidRPr="00EC0A86">
        <w:rPr>
          <w:rFonts w:ascii="Verdana" w:hAnsi="Verdana"/>
          <w:sz w:val="27"/>
          <w:szCs w:val="27"/>
        </w:rPr>
        <w:t xml:space="preserve">Одно вещество отвечает за гнев, другое за вспышку озарения, третье за чувство любви. Если из крови донора выделить «приподнятое состояние духа» и ввести уставшему реципиенту, тот почувствует прилив бодрости… </w:t>
      </w:r>
      <w:r w:rsidR="00EC0A86" w:rsidRPr="00EC0A86">
        <w:rPr>
          <w:rFonts w:ascii="Verdana" w:hAnsi="Verdana" w:cs="Arial"/>
          <w:sz w:val="27"/>
          <w:szCs w:val="27"/>
          <w:shd w:val="clear" w:color="auto" w:fill="FFFFFF"/>
        </w:rPr>
        <w:t xml:space="preserve">Радость, восхищение, восторг. </w:t>
      </w:r>
      <w:r w:rsidR="00E53F7E">
        <w:rPr>
          <w:rFonts w:ascii="Verdana" w:hAnsi="Verdana" w:cs="Arial"/>
          <w:sz w:val="27"/>
          <w:szCs w:val="27"/>
          <w:shd w:val="clear" w:color="auto" w:fill="FFFFFF"/>
        </w:rPr>
        <w:t xml:space="preserve"> </w:t>
      </w:r>
      <w:r w:rsidRPr="00EC0A86">
        <w:rPr>
          <w:rFonts w:ascii="Verdana" w:hAnsi="Verdana"/>
          <w:sz w:val="27"/>
          <w:szCs w:val="27"/>
        </w:rPr>
        <w:t>Это если объяснять просто, не вдаваясь в биохимические подробности.</w:t>
      </w:r>
      <w:r w:rsidRPr="00EC0A86">
        <w:rPr>
          <w:rFonts w:ascii="Verdana" w:hAnsi="Verdana"/>
          <w:sz w:val="27"/>
          <w:szCs w:val="27"/>
        </w:rPr>
        <w:br/>
      </w:r>
      <w:r w:rsidR="00770780">
        <w:rPr>
          <w:noProof/>
          <w:lang w:eastAsia="ru-RU"/>
        </w:rPr>
        <w:drawing>
          <wp:inline distT="0" distB="0" distL="0" distR="0" wp14:anchorId="05618CDB" wp14:editId="6D0615DF">
            <wp:extent cx="2381250" cy="1781175"/>
            <wp:effectExtent l="0" t="0" r="0" b="9525"/>
            <wp:docPr id="1" name="Рисунок 1" descr="http://apteka.potrebitel.ru/data/7/9/images/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teka.potrebitel.ru/data/7/9/images/2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9E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реальности же все сложнее. За</w:t>
      </w:r>
      <w:r w:rsidR="00034C0C">
        <w:rPr>
          <w:rFonts w:ascii="Verdana" w:hAnsi="Verdana"/>
          <w:color w:val="000000"/>
          <w:sz w:val="27"/>
          <w:szCs w:val="27"/>
        </w:rPr>
        <w:t xml:space="preserve"> всплески чувств и разгул эмоций</w:t>
      </w:r>
      <w:r>
        <w:rPr>
          <w:rFonts w:ascii="Verdana" w:hAnsi="Verdana"/>
          <w:color w:val="000000"/>
          <w:sz w:val="27"/>
          <w:szCs w:val="27"/>
        </w:rPr>
        <w:t xml:space="preserve"> отвечают две большие группы веществ – гормоны и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. Медицине давно известно: с гормонами шутки плохи, недаром их содержание в противозачаточных пилюлях фармацевты так усердно стараются понизить. А вот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совершенно безопасны. К тому же эволюционно они произошли раньше гормонов, и, соответственно, более универсальны. Скажем, некоторые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животных химически аналогичны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нейропептидам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человека. </w:t>
      </w:r>
    </w:p>
    <w:p w:rsidR="00140D44" w:rsidRDefault="00895955">
      <w:pPr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  <w:r>
        <w:rPr>
          <w:rFonts w:ascii="Verdana" w:hAnsi="Verdana"/>
          <w:color w:val="000000"/>
          <w:sz w:val="27"/>
          <w:szCs w:val="27"/>
        </w:rPr>
        <w:t>Донорский пептид стимулирует в организме реципиента выработку собственных эндогенных (внутренних) пептидов. То есть не только донорский пептид сам по себе дей</w:t>
      </w:r>
      <w:r w:rsidR="00EA736C">
        <w:rPr>
          <w:rFonts w:ascii="Verdana" w:hAnsi="Verdana"/>
          <w:color w:val="000000"/>
          <w:sz w:val="27"/>
          <w:szCs w:val="27"/>
        </w:rPr>
        <w:t>ствует, но и те пептиды, которые</w:t>
      </w:r>
      <w:r>
        <w:rPr>
          <w:rFonts w:ascii="Verdana" w:hAnsi="Verdana"/>
          <w:color w:val="000000"/>
          <w:sz w:val="27"/>
          <w:szCs w:val="27"/>
        </w:rPr>
        <w:t xml:space="preserve"> начинает вырабатывать сам организм. </w:t>
      </w:r>
    </w:p>
    <w:p w:rsidR="00C77C47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Сложности еще заключаются в том, что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нейропептидов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r w:rsidR="00140D44">
        <w:rPr>
          <w:rFonts w:ascii="Verdana" w:hAnsi="Verdana"/>
          <w:color w:val="000000"/>
          <w:sz w:val="27"/>
          <w:szCs w:val="27"/>
        </w:rPr>
        <w:t>существует несколько</w:t>
      </w:r>
      <w:r>
        <w:rPr>
          <w:rFonts w:ascii="Verdana" w:hAnsi="Verdana"/>
          <w:color w:val="000000"/>
          <w:sz w:val="27"/>
          <w:szCs w:val="27"/>
        </w:rPr>
        <w:t xml:space="preserve"> тысяч! Из них хорошо изучены и описаны не более сотни</w:t>
      </w:r>
      <w:r w:rsidR="00140D44">
        <w:rPr>
          <w:rFonts w:ascii="Verdana" w:hAnsi="Verdana"/>
          <w:color w:val="000000"/>
          <w:sz w:val="27"/>
          <w:szCs w:val="27"/>
        </w:rPr>
        <w:t>.</w:t>
      </w:r>
      <w:r>
        <w:rPr>
          <w:rFonts w:ascii="Verdana" w:hAnsi="Verdana"/>
          <w:color w:val="000000"/>
          <w:sz w:val="27"/>
          <w:szCs w:val="27"/>
        </w:rPr>
        <w:t xml:space="preserve"> Скажем, известно, что вазопрессин активизирует память, </w:t>
      </w:r>
      <w:proofErr w:type="spellStart"/>
      <w:r>
        <w:rPr>
          <w:rFonts w:ascii="Verdana" w:hAnsi="Verdana"/>
          <w:color w:val="000000"/>
          <w:sz w:val="27"/>
          <w:szCs w:val="27"/>
        </w:rPr>
        <w:t>люлиберин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половое влечение</w:t>
      </w:r>
      <w:proofErr w:type="gramStart"/>
      <w:r>
        <w:rPr>
          <w:rFonts w:ascii="Verdana" w:hAnsi="Verdana"/>
          <w:color w:val="000000"/>
          <w:sz w:val="27"/>
          <w:szCs w:val="27"/>
        </w:rPr>
        <w:t>… К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роме того, за одно ощущение или эмоцию отвечает целый спектр разных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нейропептидов</w:t>
      </w:r>
      <w:proofErr w:type="spellEnd"/>
      <w:r>
        <w:rPr>
          <w:rFonts w:ascii="Verdana" w:hAnsi="Verdana"/>
          <w:color w:val="000000"/>
          <w:sz w:val="27"/>
          <w:szCs w:val="27"/>
        </w:rPr>
        <w:t>. Симфонию тонких чувств не сыграть на одной ноте.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Шестаков загоняет доноров</w:t>
      </w:r>
      <w:r>
        <w:rPr>
          <w:rFonts w:ascii="Verdana" w:hAnsi="Verdana"/>
          <w:color w:val="000000"/>
          <w:sz w:val="27"/>
          <w:szCs w:val="27"/>
        </w:rPr>
        <w:noBreakHyphen/>
        <w:t>добровольцев в 12 разных стандартизованных состояний, вызывающих, соответственно «стандартизованные» чувства. Потом берет у них кровь, гамма</w:t>
      </w:r>
      <w:r>
        <w:rPr>
          <w:rFonts w:ascii="Verdana" w:hAnsi="Verdana"/>
          <w:color w:val="000000"/>
          <w:sz w:val="27"/>
          <w:szCs w:val="27"/>
        </w:rPr>
        <w:noBreakHyphen/>
        <w:t>излучением уничтожает ненужные гормоны, и остается набор нужных пептидов. Что это за пептиды, не всегда даже известно. Но ясно, что если человек три дня не спал, то в его крови повышена концентрация пептидов, отвечающих за острое желание уснуть.</w:t>
      </w:r>
      <w:r>
        <w:rPr>
          <w:rFonts w:ascii="Verdana" w:hAnsi="Verdana"/>
          <w:color w:val="000000"/>
          <w:sz w:val="27"/>
          <w:szCs w:val="27"/>
        </w:rPr>
        <w:br/>
        <w:t xml:space="preserve">И если теперь сыворотку с этими пептидами ввести человеку с бессонницей, он быстро </w:t>
      </w:r>
      <w:r w:rsidR="008F77F0">
        <w:rPr>
          <w:rFonts w:ascii="Verdana" w:hAnsi="Verdana"/>
          <w:color w:val="000000"/>
          <w:sz w:val="27"/>
          <w:szCs w:val="27"/>
        </w:rPr>
        <w:t>уснет сном праведника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Если донор долгое время напрягал слух, глухой реципиент с поражением ушного нерва после введения ему донорских пептидов некоторое время будет слышать. А после курса инъекций можно существенно поправить слух. (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помогают восстановлению нервной ткани.) Так можно лечить глухоту. </w:t>
      </w:r>
    </w:p>
    <w:p w:rsidR="0070654F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 ДЦП. И бессонницу. И импотенцию.</w:t>
      </w:r>
      <w:r>
        <w:rPr>
          <w:rFonts w:ascii="Verdana" w:hAnsi="Verdana"/>
          <w:color w:val="000000"/>
          <w:sz w:val="27"/>
          <w:szCs w:val="27"/>
        </w:rPr>
        <w:br/>
        <w:t>Кстати, насчет импотенции</w:t>
      </w:r>
      <w:proofErr w:type="gramStart"/>
      <w:r>
        <w:rPr>
          <w:rFonts w:ascii="Verdana" w:hAnsi="Verdana"/>
          <w:color w:val="000000"/>
          <w:sz w:val="27"/>
          <w:szCs w:val="27"/>
        </w:rPr>
        <w:t>… Б</w:t>
      </w:r>
      <w:proofErr w:type="gramEnd"/>
      <w:r>
        <w:rPr>
          <w:rFonts w:ascii="Verdana" w:hAnsi="Verdana"/>
          <w:color w:val="000000"/>
          <w:sz w:val="27"/>
          <w:szCs w:val="27"/>
        </w:rPr>
        <w:t>олее всего повезло тем добровольцам</w:t>
      </w:r>
      <w:r>
        <w:rPr>
          <w:rFonts w:ascii="Verdana" w:hAnsi="Verdana"/>
          <w:color w:val="000000"/>
          <w:sz w:val="27"/>
          <w:szCs w:val="27"/>
        </w:rPr>
        <w:noBreakHyphen/>
        <w:t xml:space="preserve">донорам, которые нарабатывают пептиды сексуального желания. Шестаков заставляет их после длительного сексуального воздержания смотреть порнографию. И платит за это деньги! Зато потом </w:t>
      </w:r>
      <w:proofErr w:type="gramStart"/>
      <w:r>
        <w:rPr>
          <w:rFonts w:ascii="Verdana" w:hAnsi="Verdana"/>
          <w:color w:val="000000"/>
          <w:sz w:val="27"/>
          <w:szCs w:val="27"/>
        </w:rPr>
        <w:t>извлеченные</w:t>
      </w:r>
      <w:proofErr w:type="gramEnd"/>
      <w:r w:rsidRPr="00D121C0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 xml:space="preserve">из этих героев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очень помогают больным импотенцией.</w:t>
      </w:r>
      <w:r w:rsidR="0070654F">
        <w:rPr>
          <w:rFonts w:ascii="Verdana" w:hAnsi="Verdana"/>
          <w:color w:val="000000"/>
          <w:sz w:val="27"/>
          <w:szCs w:val="27"/>
        </w:rPr>
        <w:t xml:space="preserve"> </w:t>
      </w:r>
    </w:p>
    <w:p w:rsidR="002602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Некоторых доноров Шестаков заставляет </w:t>
      </w:r>
      <w:proofErr w:type="gramStart"/>
      <w:r>
        <w:rPr>
          <w:rFonts w:ascii="Verdana" w:hAnsi="Verdana"/>
          <w:color w:val="000000"/>
          <w:sz w:val="27"/>
          <w:szCs w:val="27"/>
        </w:rPr>
        <w:t>жрать</w:t>
      </w:r>
      <w:proofErr w:type="gramEnd"/>
      <w:r>
        <w:rPr>
          <w:rFonts w:ascii="Verdana" w:hAnsi="Verdana"/>
          <w:color w:val="000000"/>
          <w:sz w:val="27"/>
          <w:szCs w:val="27"/>
        </w:rPr>
        <w:t>. Не кушать интеллигентно, а именно переедать – так, чтобы больше не лезло. А потом выделенные из крови «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сытости» вводят тем, кому надо похудеть, чтобы голод не мучил.</w:t>
      </w:r>
      <w:r w:rsidR="0070654F">
        <w:rPr>
          <w:rFonts w:ascii="Verdana" w:hAnsi="Verdana"/>
          <w:color w:val="000000"/>
          <w:sz w:val="27"/>
          <w:szCs w:val="27"/>
        </w:rPr>
        <w:t xml:space="preserve"> 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Вы можете спросить, а зачем нужны доноры, не проще ли делать нужные пептиды на фармацевтической фабрике? Теоретически, да. Но в реальности… Допустим, спектрометрия показывает, что в сыворотке крови добровольца 40 всплесков на графике, то </w:t>
      </w:r>
      <w:proofErr w:type="gramStart"/>
      <w:r>
        <w:rPr>
          <w:rFonts w:ascii="Verdana" w:hAnsi="Verdana"/>
          <w:color w:val="000000"/>
          <w:sz w:val="27"/>
          <w:szCs w:val="27"/>
        </w:rPr>
        <w:t>есть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повышена концентрация каких</w:t>
      </w:r>
      <w:r>
        <w:rPr>
          <w:rFonts w:ascii="Verdana" w:hAnsi="Verdana"/>
          <w:color w:val="000000"/>
          <w:sz w:val="27"/>
          <w:szCs w:val="27"/>
        </w:rPr>
        <w:noBreakHyphen/>
        <w:t xml:space="preserve">то сорока пептидов. Из них с помощью биотестов и </w:t>
      </w:r>
      <w:proofErr w:type="spellStart"/>
      <w:r>
        <w:rPr>
          <w:rFonts w:ascii="Verdana" w:hAnsi="Verdana"/>
          <w:color w:val="000000"/>
          <w:sz w:val="27"/>
          <w:szCs w:val="27"/>
        </w:rPr>
        <w:t>иммунофоретического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метода точно определяются лишь несколько. А остальные могут быть просто неизвестны науке. Их надо выделять и исследовать отдельно. Это работа на долгие годы. </w:t>
      </w:r>
    </w:p>
    <w:p w:rsidR="002602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Она рано или поздно будет сделана. А пока проще использовать донорские сыворотки, не разбираясь, чего там намешано.</w:t>
      </w:r>
      <w:r w:rsidR="0070654F">
        <w:rPr>
          <w:rFonts w:ascii="Verdana" w:hAnsi="Verdana"/>
          <w:color w:val="000000"/>
          <w:sz w:val="27"/>
          <w:szCs w:val="27"/>
        </w:rPr>
        <w:t xml:space="preserve"> 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Вот пример. Существует дорогой швейцарский препарат против бессонницы. В нем присутствует пептид, который называется «дельта </w:t>
      </w:r>
      <w:r>
        <w:rPr>
          <w:rFonts w:ascii="Verdana" w:hAnsi="Verdana"/>
          <w:color w:val="000000"/>
          <w:sz w:val="27"/>
          <w:szCs w:val="27"/>
        </w:rPr>
        <w:lastRenderedPageBreak/>
        <w:t xml:space="preserve">сна». Швейцарское лекарство действует на 50% больных. А </w:t>
      </w:r>
      <w:proofErr w:type="spellStart"/>
      <w:r>
        <w:rPr>
          <w:rFonts w:ascii="Verdana" w:hAnsi="Verdana"/>
          <w:color w:val="000000"/>
          <w:sz w:val="27"/>
          <w:szCs w:val="27"/>
        </w:rPr>
        <w:t>шестаковский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препарат, полученный из донорской крови, действует в 90% случаев. Почему? Потому что у швейцарцев в препарате только один изученный пептид. А у Шестакова целый комплекс неизученных пептидов из крови человека – их там десятки. Когда Шестаков выделил из своей сыворотки в чистом виде «дельта сна», убрав остальное, он обнаружил, что эффективность сыворотки упала до швейцарских 50%. То есть работает именно комплекс пока неизвестных науке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нейропептидов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70654F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Вот когда теоретическая наука изучит </w:t>
      </w:r>
      <w:proofErr w:type="gramStart"/>
      <w:r>
        <w:rPr>
          <w:rFonts w:ascii="Verdana" w:hAnsi="Verdana"/>
          <w:color w:val="000000"/>
          <w:sz w:val="27"/>
          <w:szCs w:val="27"/>
        </w:rPr>
        <w:t>все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пептиды – </w:t>
      </w:r>
      <w:proofErr w:type="gramStart"/>
      <w:r>
        <w:rPr>
          <w:rFonts w:ascii="Verdana" w:hAnsi="Verdana"/>
          <w:color w:val="000000"/>
          <w:sz w:val="27"/>
          <w:szCs w:val="27"/>
        </w:rPr>
        <w:t>какое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вещество за что отвечает, – можно будет не использовать добровольцев и животных, а действительно включить фабричный синтез. И начать просто по сводным таблицам составлять различные комбинации ощущений – для лечения, развлечения…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последние годы лаборатория Шестакова постепенно переходит от доноров</w:t>
      </w:r>
      <w:r>
        <w:rPr>
          <w:rFonts w:ascii="Verdana" w:hAnsi="Verdana"/>
          <w:color w:val="000000"/>
          <w:sz w:val="27"/>
          <w:szCs w:val="27"/>
        </w:rPr>
        <w:noBreakHyphen/>
        <w:t>людей на доноров</w:t>
      </w:r>
      <w:r>
        <w:rPr>
          <w:rFonts w:ascii="Verdana" w:hAnsi="Verdana"/>
          <w:color w:val="000000"/>
          <w:sz w:val="27"/>
          <w:szCs w:val="27"/>
        </w:rPr>
        <w:noBreakHyphen/>
        <w:t xml:space="preserve">животных. Животных подвергают нагрузке, стрессу и получают сыворотку… Ученые, например, получают уникальное сырье от кур, которых забивают на птицефабриках. Сегодня кровь этих кур просто выбрасывается. 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А из нее, оказывается, можно делать сыворотку. Выяснилось, что </w:t>
      </w:r>
      <w:proofErr w:type="gramStart"/>
      <w:r>
        <w:rPr>
          <w:rFonts w:ascii="Verdana" w:hAnsi="Verdana"/>
          <w:color w:val="000000"/>
          <w:sz w:val="27"/>
          <w:szCs w:val="27"/>
        </w:rPr>
        <w:t>куриными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нейропептидами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можно успешно лечить нервные патологии: ДЦП, болезнь Паркинсона, эпилепсию. При Паркинсоне пропадает тремор, улучшается походка больного</w:t>
      </w:r>
      <w:proofErr w:type="gramStart"/>
      <w:r>
        <w:rPr>
          <w:rFonts w:ascii="Verdana" w:hAnsi="Verdana"/>
          <w:color w:val="000000"/>
          <w:sz w:val="27"/>
          <w:szCs w:val="27"/>
        </w:rPr>
        <w:t>… Н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а сегодня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нейропептидные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опыты – единственный реальный способ лечения болезни Паркинсона и ДЦП. От ДЦП помогает сыворотка, которая получена от донора после определенной физической нагрузки с включением нервно</w:t>
      </w:r>
      <w:r>
        <w:rPr>
          <w:rFonts w:ascii="Verdana" w:hAnsi="Verdana"/>
          <w:color w:val="000000"/>
          <w:sz w:val="27"/>
          <w:szCs w:val="27"/>
        </w:rPr>
        <w:noBreakHyphen/>
        <w:t>мышечной системы, когда оптимизируется работа нервов и мышц.</w:t>
      </w:r>
    </w:p>
    <w:p w:rsidR="0070654F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Возникает вопрос: а почему больным людям помогают пептиды предсмертного стресса курицы? А потому что предсмертный стресс организма направлен на выживаемость, на мобилизацию всех сил. Курица не хочет погибать, ее организм сопротивляется. Вот это сопротивление, эту мотивацию к жизни и выделяют ученые из крови.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вырабатываются во многих тканях организма: в кишечнике, в мозгу, в сердечной мышце, в стекловидном теле глаза. Их много, поэтому, исследуя любую ткань, можно открыть какой</w:t>
      </w:r>
      <w:r>
        <w:rPr>
          <w:rFonts w:ascii="Verdana" w:hAnsi="Verdana"/>
          <w:color w:val="000000"/>
          <w:sz w:val="27"/>
          <w:szCs w:val="27"/>
        </w:rPr>
        <w:noBreakHyphen/>
        <w:t xml:space="preserve">нибудь пептид… </w:t>
      </w:r>
    </w:p>
    <w:p w:rsidR="004D4ED6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Есть пептиды стабильные, а есть короткоживущие, которые существуют буквально доли секунд и распадаются. Предполагается, что именно короткоживущие пептиды </w:t>
      </w:r>
      <w:proofErr w:type="gramStart"/>
      <w:r>
        <w:rPr>
          <w:rFonts w:ascii="Verdana" w:hAnsi="Verdana"/>
          <w:color w:val="000000"/>
          <w:sz w:val="27"/>
          <w:szCs w:val="27"/>
        </w:rPr>
        <w:t>представляют из себя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наибольший интерес, именно они отвечают за внезапные озарения, новые идеи. </w:t>
      </w:r>
    </w:p>
    <w:p w:rsidR="002602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Эту гипотезу отчасти подтверждает эксперимент с шахматистами. В стрессовой ситуации игры у них брали кровь, из которой сделали сыворотку. А в следующих играх им эта сыворотка вводилась, и тренер наблюдал, как после укола у некоторых шахматистов наблюдалось новое решение шахматной задачи.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Пептидный допинг помогает не только шахматистам, но и другим спортсменам. Чем, кстати, Шестаков одно время при советской власти и занимался. Он работал с боксерами, гимнастами… Удобно –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не ловится никаким анализом и формально допингом не является.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Нейропептиды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удобны еще и тем, что вводить их можно не только уколом, но и ректально в виде свечей, в виде спрея в нос, перорально – в виде таблетки под язык…</w:t>
      </w:r>
    </w:p>
    <w:p w:rsidR="008F77F0" w:rsidRDefault="00D121C0">
      <w:pPr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В начале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девяностых наши боксеры поехали в Америку на Игры доброй воли. До соревнований Шестаков с ними целый год работал. Он получил </w:t>
      </w:r>
      <w:proofErr w:type="spellStart"/>
      <w:r>
        <w:rPr>
          <w:rFonts w:ascii="Verdana" w:hAnsi="Verdana"/>
          <w:color w:val="000000"/>
          <w:sz w:val="27"/>
          <w:szCs w:val="27"/>
        </w:rPr>
        <w:t>сомнагенный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миогенный активатор. </w:t>
      </w:r>
      <w:proofErr w:type="spellStart"/>
      <w:r>
        <w:rPr>
          <w:rFonts w:ascii="Verdana" w:hAnsi="Verdana"/>
          <w:color w:val="000000"/>
          <w:sz w:val="27"/>
          <w:szCs w:val="27"/>
        </w:rPr>
        <w:t>Сомнагенный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спортсменам дали в самолете перорально, чтобы выспались. А после приземления они получили миогенный активатор. И в период адаптации и акклиматизации их тоже подкармливали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нейропептидами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  <w:r>
        <w:rPr>
          <w:rFonts w:ascii="Verdana" w:hAnsi="Verdana"/>
          <w:color w:val="000000"/>
          <w:sz w:val="27"/>
          <w:szCs w:val="27"/>
        </w:rPr>
        <w:br/>
        <w:t xml:space="preserve">Кроме того, прямо во время боя – в перерывах между раундами – врач давал препарат тренеру, а тот совал боксерам в нос ватные тампоны с </w:t>
      </w:r>
      <w:proofErr w:type="spellStart"/>
      <w:r>
        <w:rPr>
          <w:rFonts w:ascii="Verdana" w:hAnsi="Verdana"/>
          <w:color w:val="000000"/>
          <w:sz w:val="27"/>
          <w:szCs w:val="27"/>
        </w:rPr>
        <w:t>шестаковским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активатором. Профессор Шестаков в это время был в Москве, сидел перед телевизором и видел, как один из боксеров рукой отмахнулся и бросил тренеру: «Да мне не надо, я на ночь принимал». Использованные тампоны тренер засовывал к себе в карман. Однако один или два тампона у него из кармана выпали. Американцы потом их подобрали и сдали на анализ, который показал, что на тампоне какой</w:t>
      </w:r>
      <w:r>
        <w:rPr>
          <w:rFonts w:ascii="Verdana" w:hAnsi="Verdana"/>
          <w:color w:val="000000"/>
          <w:sz w:val="27"/>
          <w:szCs w:val="27"/>
        </w:rPr>
        <w:noBreakHyphen/>
        <w:t>то белок. Точнее не смогли определить, а для того, чтобы уличить спортсмена в допинге, нужно указать, какой именно препарат он принимал.</w:t>
      </w:r>
      <w:r>
        <w:rPr>
          <w:rFonts w:ascii="Verdana" w:hAnsi="Verdana"/>
          <w:color w:val="000000"/>
          <w:sz w:val="27"/>
          <w:szCs w:val="27"/>
        </w:rPr>
        <w:br/>
        <w:t>Поэтому результаты тех соревнований американцам пришлось зачесть. По прогнозам спортивных специалистов наши тогда должны были взять порядка 3–5 медалей, а они взяли 18! Ясно, что на допинге. Но не пойман – не вор…</w:t>
      </w:r>
    </w:p>
    <w:p w:rsidR="00E96596" w:rsidRDefault="00D121C0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Еще Шестаков экспериментировал с прыгунами. Прыгун делал контрольный прыжок, потом принимал препарат</w:t>
      </w:r>
      <w:r w:rsidRPr="00D121C0">
        <w:rPr>
          <w:rFonts w:ascii="Verdana" w:hAnsi="Verdana"/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7"/>
          <w:szCs w:val="27"/>
        </w:rPr>
        <w:t xml:space="preserve">и делал второй прыжок. В среднем результат улучшался на пять сантиметров. </w:t>
      </w:r>
      <w:proofErr w:type="spellStart"/>
      <w:r>
        <w:rPr>
          <w:rFonts w:ascii="Verdana" w:hAnsi="Verdana"/>
          <w:color w:val="000000"/>
          <w:sz w:val="27"/>
          <w:szCs w:val="27"/>
        </w:rPr>
        <w:t>Нейропептидные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стимуляторы хорошо показали себя во многих видах спорта. Вот только с фигурным катанием у Шестакова отчего</w:t>
      </w:r>
      <w:r>
        <w:rPr>
          <w:rFonts w:ascii="Verdana" w:hAnsi="Verdana"/>
          <w:color w:val="000000"/>
          <w:sz w:val="27"/>
          <w:szCs w:val="27"/>
        </w:rPr>
        <w:noBreakHyphen/>
        <w:t>то вышла промашка. Сначала результаты росли, а потом вдруг последовал спад. Загадка. Или ошибка в постановке эксперимента. Должно было сработать!</w:t>
      </w:r>
    </w:p>
    <w:p w:rsidR="00EC0A86" w:rsidRDefault="00EC0A86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Ниже для примера приведен один из патентов Шестакова В.А.:</w:t>
      </w:r>
    </w:p>
    <w:tbl>
      <w:tblPr>
        <w:tblW w:w="11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7700"/>
      </w:tblGrid>
      <w:tr w:rsidR="00EC0A86" w:rsidRPr="00EC0A86" w:rsidTr="00EC0A86">
        <w:tc>
          <w:tcPr>
            <w:tcW w:w="21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0A86" w:rsidRPr="00EC0A86" w:rsidRDefault="00EC0A86" w:rsidP="00EC0A86">
            <w:pPr>
              <w:spacing w:after="0" w:line="225" w:lineRule="atLeast"/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Классы МПК: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EC0A86" w:rsidRPr="00EC0A86" w:rsidRDefault="00527F9E" w:rsidP="00EC0A86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EC0A86" w:rsidRPr="00EC0A86">
                <w:rPr>
                  <w:rFonts w:ascii="Verdana" w:eastAsia="Times New Roman" w:hAnsi="Verdana" w:cs="Tahoma"/>
                  <w:color w:val="B5025C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A61K35/16</w:t>
              </w:r>
            </w:hyperlink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 </w:t>
            </w:r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плазма; сыворотка</w:t>
            </w:r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br/>
            </w:r>
            <w:hyperlink r:id="rId7" w:history="1">
              <w:r w:rsidR="00EC0A86" w:rsidRPr="00EC0A86">
                <w:rPr>
                  <w:rFonts w:ascii="Verdana" w:eastAsia="Times New Roman" w:hAnsi="Verdana" w:cs="Tahoma"/>
                  <w:color w:val="B5025C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A61K38/00</w:t>
              </w:r>
            </w:hyperlink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 </w:t>
            </w:r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Лекарственные препараты, содержащие пептиды</w:t>
            </w:r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br/>
            </w:r>
            <w:hyperlink r:id="rId8" w:history="1">
              <w:r w:rsidR="00EC0A86" w:rsidRPr="00EC0A86">
                <w:rPr>
                  <w:rFonts w:ascii="Verdana" w:eastAsia="Times New Roman" w:hAnsi="Verdana" w:cs="Tahoma"/>
                  <w:color w:val="B5025C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A61P31/12</w:t>
              </w:r>
            </w:hyperlink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 </w:t>
            </w:r>
            <w:r w:rsidR="00EC0A86"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противовирусные средства</w:t>
            </w:r>
          </w:p>
        </w:tc>
      </w:tr>
      <w:tr w:rsidR="00EC0A86" w:rsidRPr="00EC0A86" w:rsidTr="00EC0A86">
        <w:tc>
          <w:tcPr>
            <w:tcW w:w="21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0A86" w:rsidRPr="00EC0A86" w:rsidRDefault="00EC0A86" w:rsidP="00EC0A86">
            <w:pPr>
              <w:spacing w:after="0" w:line="225" w:lineRule="atLeast"/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Авто</w:t>
            </w:r>
            <w:proofErr w:type="gramStart"/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р(</w:t>
            </w:r>
            <w:proofErr w:type="gramEnd"/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ы):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EC0A86" w:rsidRDefault="00EC0A86" w:rsidP="00EC0A86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Шестаков Виталий Александрович (RU)</w:t>
            </w: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, </w:t>
            </w:r>
          </w:p>
          <w:p w:rsidR="00EC0A86" w:rsidRPr="00EC0A86" w:rsidRDefault="00EC0A86" w:rsidP="00EC0A86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Решетников Евгений Васильевич (RU)</w:t>
            </w:r>
          </w:p>
        </w:tc>
      </w:tr>
      <w:tr w:rsidR="00EC0A86" w:rsidRPr="00EC0A86" w:rsidTr="00EC0A86">
        <w:tc>
          <w:tcPr>
            <w:tcW w:w="21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0A86" w:rsidRPr="00EC0A86" w:rsidRDefault="00EC0A86" w:rsidP="00EC0A86">
            <w:pPr>
              <w:spacing w:after="0" w:line="225" w:lineRule="atLeast"/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Патентообладател</w:t>
            </w:r>
            <w:proofErr w:type="gramStart"/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ь(</w:t>
            </w:r>
            <w:proofErr w:type="gramEnd"/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и):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EC0A86" w:rsidRPr="00EC0A86" w:rsidRDefault="00EC0A86" w:rsidP="00EC0A86">
            <w:pPr>
              <w:spacing w:after="0" w:line="225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Шестаков Виталий Александрович (RU)</w:t>
            </w:r>
          </w:p>
        </w:tc>
      </w:tr>
      <w:tr w:rsidR="00EC0A86" w:rsidRPr="00EC0A86" w:rsidTr="00EC0A86"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C0A86" w:rsidRPr="00EC0A86" w:rsidRDefault="00EC0A86" w:rsidP="00EC0A86">
            <w:pPr>
              <w:spacing w:after="0" w:line="225" w:lineRule="atLeast"/>
              <w:jc w:val="right"/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b/>
                <w:bCs/>
                <w:color w:val="000000"/>
                <w:sz w:val="27"/>
                <w:szCs w:val="27"/>
                <w:lang w:eastAsia="ru-RU"/>
              </w:rPr>
              <w:t>Приоритеты: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EC0A86" w:rsidRPr="00EC0A86" w:rsidRDefault="00EC0A86" w:rsidP="00EC0A86">
            <w:pPr>
              <w:spacing w:after="0" w:line="180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подача заявки:</w:t>
            </w: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br/>
              <w:t>2012-09-06</w:t>
            </w:r>
          </w:p>
          <w:p w:rsidR="00EC0A86" w:rsidRPr="00EC0A86" w:rsidRDefault="00EC0A86" w:rsidP="00EC0A86">
            <w:pPr>
              <w:spacing w:after="0" w:line="180" w:lineRule="atLeast"/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</w:pP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t>публикация патента:</w:t>
            </w: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ru-RU"/>
              </w:rPr>
              <w:br/>
            </w:r>
            <w:r w:rsidRPr="00EC0A86">
              <w:rPr>
                <w:rFonts w:ascii="Verdana" w:eastAsia="Times New Roman" w:hAnsi="Verdana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27.08.2014</w:t>
            </w:r>
          </w:p>
        </w:tc>
      </w:tr>
    </w:tbl>
    <w:p w:rsidR="00EC0A86" w:rsidRPr="00EC0A86" w:rsidRDefault="00EC0A86" w:rsidP="00EC0A86">
      <w:pPr>
        <w:shd w:val="clear" w:color="auto" w:fill="FFFFFF"/>
        <w:spacing w:before="120" w:after="300" w:line="326" w:lineRule="atLeast"/>
        <w:ind w:firstLine="600"/>
        <w:jc w:val="both"/>
        <w:textAlignment w:val="top"/>
        <w:rPr>
          <w:rFonts w:ascii="Verdana" w:eastAsia="Times New Roman" w:hAnsi="Verdana" w:cs="Tahoma"/>
          <w:color w:val="000000"/>
          <w:sz w:val="27"/>
          <w:szCs w:val="27"/>
          <w:lang w:eastAsia="ru-RU"/>
        </w:rPr>
      </w:pPr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(57) Группа изобретений относится к области медицины и </w:t>
      </w:r>
      <w:proofErr w:type="gram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предназначено для защиты клеток от цитопатогенного действия вируса гепатита С. Заявлена</w:t>
      </w:r>
      <w:proofErr w:type="gram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 фармацевтическая композиция, обладающая противовирусным действием в отношении вируса гепатита C и способ ее получения. Проводят электростимуляцию головы бройлерных кур в режиме 100-120 B 3-4 A в течение 3-4 с. Забирают кровь и инкубируют её при 4-8°C в течение 18-24 часов. Осуществляют отбор сыворотки. Отобранную сыворотку фильтруют через фильтр с диаметром пор 10 </w:t>
      </w:r>
      <w:proofErr w:type="spell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нм</w:t>
      </w:r>
      <w:proofErr w:type="spell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лиофилизируют</w:t>
      </w:r>
      <w:proofErr w:type="spell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 и облучают в линейном ускорителе электронов (ЛУЭ) в режиме 10-40 </w:t>
      </w:r>
      <w:proofErr w:type="spell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кГр</w:t>
      </w:r>
      <w:proofErr w:type="spell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. Использование заявленной группы изобретений </w:t>
      </w:r>
      <w:proofErr w:type="spell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ээфективно</w:t>
      </w:r>
      <w:proofErr w:type="spell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 xml:space="preserve"> для защиты клеток СПЭВ от цитопатогенного действия вируса гепатита С. 2 н. п. ф-</w:t>
      </w:r>
      <w:proofErr w:type="spellStart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лы</w:t>
      </w:r>
      <w:proofErr w:type="spellEnd"/>
      <w:r w:rsidRPr="00EC0A86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, 2 табл., 1пр.</w:t>
      </w:r>
    </w:p>
    <w:p w:rsidR="00EC0A86" w:rsidRDefault="00EC0A86"/>
    <w:sectPr w:rsidR="00EC0A86" w:rsidSect="00EC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9"/>
    <w:rsid w:val="00034C0C"/>
    <w:rsid w:val="00140D44"/>
    <w:rsid w:val="001D72FA"/>
    <w:rsid w:val="002602F0"/>
    <w:rsid w:val="00425EA6"/>
    <w:rsid w:val="004D4ED6"/>
    <w:rsid w:val="00527F9E"/>
    <w:rsid w:val="00666156"/>
    <w:rsid w:val="0070654F"/>
    <w:rsid w:val="00770780"/>
    <w:rsid w:val="00895955"/>
    <w:rsid w:val="008F77F0"/>
    <w:rsid w:val="00AE1449"/>
    <w:rsid w:val="00C77C47"/>
    <w:rsid w:val="00D121C0"/>
    <w:rsid w:val="00E53F7E"/>
    <w:rsid w:val="00E96596"/>
    <w:rsid w:val="00EA736C"/>
    <w:rsid w:val="00E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406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5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atent.ru/MPK/A/A61/A61P/A61P31/A61P3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patent.ru/MPK/A/A61/A61K/A61K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patent.ru/MPK/A/A61/A61K/A61K35/A61K35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2016-02-05T20:51:00Z</dcterms:created>
  <dcterms:modified xsi:type="dcterms:W3CDTF">2016-02-07T12:37:00Z</dcterms:modified>
</cp:coreProperties>
</file>